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center"/>
        <w:rPr>
          <w:rFonts w:ascii="方正小标宋_GBK" w:hAnsi="宋体" w:eastAsia="方正小标宋_GBK" w:cs="宋体"/>
          <w:sz w:val="44"/>
          <w:szCs w:val="44"/>
        </w:rPr>
      </w:pPr>
      <w:r>
        <w:rPr>
          <w:rFonts w:hint="eastAsia" w:ascii="方正小标宋_GBK" w:hAnsi="宋体" w:eastAsia="方正小标宋_GBK" w:cs="宋体"/>
          <w:sz w:val="44"/>
          <w:szCs w:val="44"/>
        </w:rPr>
        <w:t>云南交通运输职业学院单招考试文化素质知识考试大纲（政治）</w:t>
      </w:r>
    </w:p>
    <w:p>
      <w:pPr>
        <w:spacing w:line="576" w:lineRule="exact"/>
        <w:jc w:val="center"/>
        <w:rPr>
          <w:rFonts w:ascii="方正小标宋_GBK" w:hAnsi="宋体" w:eastAsia="方正小标宋_GBK" w:cs="宋体"/>
          <w:sz w:val="44"/>
          <w:szCs w:val="44"/>
        </w:rPr>
      </w:pPr>
    </w:p>
    <w:p>
      <w:pPr>
        <w:pStyle w:val="2"/>
        <w:adjustRightInd w:val="0"/>
        <w:snapToGrid w:val="0"/>
        <w:spacing w:before="0" w:after="0" w:line="576" w:lineRule="exact"/>
        <w:jc w:val="both"/>
        <w:rPr>
          <w:rFonts w:ascii="宋体" w:hAnsi="宋体" w:cs="宋体"/>
          <w:szCs w:val="32"/>
        </w:rPr>
      </w:pPr>
      <w:r>
        <w:rPr>
          <w:rFonts w:hint="eastAsia" w:ascii="宋体" w:hAnsi="宋体" w:cs="宋体"/>
          <w:szCs w:val="32"/>
        </w:rPr>
        <w:t>一、考试形式及试卷结构</w:t>
      </w:r>
    </w:p>
    <w:p>
      <w:pPr>
        <w:pStyle w:val="2"/>
        <w:adjustRightInd w:val="0"/>
        <w:snapToGrid w:val="0"/>
        <w:spacing w:before="0" w:after="0" w:line="576" w:lineRule="exact"/>
        <w:jc w:val="both"/>
        <w:rPr>
          <w:rFonts w:ascii="仿宋_GB2312" w:hAnsi="仿宋_GB2312" w:eastAsia="仿宋_GB2312" w:cs="仿宋_GB2312"/>
          <w:b w:val="0"/>
          <w:bCs w:val="0"/>
          <w:szCs w:val="32"/>
        </w:rPr>
      </w:pPr>
      <w:r>
        <w:rPr>
          <w:rFonts w:hint="eastAsia" w:ascii="仿宋_GB2312" w:hAnsi="仿宋_GB2312" w:eastAsia="仿宋_GB2312" w:cs="仿宋_GB2312"/>
          <w:b w:val="0"/>
          <w:bCs w:val="0"/>
          <w:szCs w:val="32"/>
        </w:rPr>
        <w:t>(一)答卷方式</w:t>
      </w:r>
    </w:p>
    <w:p>
      <w:pPr>
        <w:pStyle w:val="2"/>
        <w:adjustRightInd w:val="0"/>
        <w:snapToGrid w:val="0"/>
        <w:spacing w:before="0" w:after="0" w:line="576" w:lineRule="exact"/>
        <w:ind w:firstLine="640" w:firstLineChars="200"/>
        <w:jc w:val="both"/>
        <w:rPr>
          <w:rFonts w:ascii="仿宋_GB2312" w:hAnsi="仿宋_GB2312" w:eastAsia="仿宋_GB2312" w:cs="仿宋_GB2312"/>
          <w:b w:val="0"/>
          <w:bCs w:val="0"/>
          <w:szCs w:val="32"/>
        </w:rPr>
      </w:pPr>
      <w:r>
        <w:rPr>
          <w:rFonts w:hint="eastAsia" w:ascii="仿宋_GB2312" w:hAnsi="仿宋_GB2312" w:eastAsia="仿宋_GB2312" w:cs="仿宋_GB2312"/>
          <w:b w:val="0"/>
          <w:bCs w:val="0"/>
          <w:szCs w:val="32"/>
        </w:rPr>
        <w:t>闭卷线上考试。满分为50</w:t>
      </w:r>
      <w:r>
        <w:rPr>
          <w:rFonts w:hint="eastAsia" w:ascii="仿宋_GB2312" w:hAnsi="仿宋_GB2312" w:eastAsia="仿宋_GB2312" w:cs="仿宋_GB2312"/>
          <w:b w:val="0"/>
          <w:bCs w:val="0"/>
          <w:szCs w:val="32"/>
          <w:lang w:eastAsia="zh-CN"/>
        </w:rPr>
        <w:t>分</w:t>
      </w:r>
      <w:r>
        <w:rPr>
          <w:rFonts w:hint="eastAsia" w:ascii="仿宋_GB2312" w:hAnsi="仿宋_GB2312" w:eastAsia="仿宋_GB2312" w:cs="仿宋_GB2312"/>
          <w:b w:val="0"/>
          <w:bCs w:val="0"/>
          <w:szCs w:val="32"/>
        </w:rPr>
        <w:t>。考试时间30分钟。</w:t>
      </w:r>
    </w:p>
    <w:p>
      <w:pPr>
        <w:pStyle w:val="2"/>
        <w:adjustRightInd w:val="0"/>
        <w:snapToGrid w:val="0"/>
        <w:spacing w:before="0" w:after="0" w:line="576" w:lineRule="exact"/>
        <w:jc w:val="both"/>
        <w:rPr>
          <w:rFonts w:ascii="仿宋_GB2312" w:hAnsi="仿宋_GB2312" w:eastAsia="仿宋_GB2312" w:cs="仿宋_GB2312"/>
          <w:b w:val="0"/>
          <w:bCs w:val="0"/>
          <w:szCs w:val="32"/>
        </w:rPr>
      </w:pPr>
      <w:r>
        <w:rPr>
          <w:rFonts w:hint="eastAsia" w:ascii="仿宋_GB2312" w:hAnsi="仿宋_GB2312" w:eastAsia="仿宋_GB2312" w:cs="仿宋_GB2312"/>
          <w:b w:val="0"/>
          <w:bCs w:val="0"/>
          <w:szCs w:val="32"/>
        </w:rPr>
        <w:t>(二)试卷内容、占分比例</w:t>
      </w:r>
    </w:p>
    <w:p>
      <w:pPr>
        <w:pStyle w:val="2"/>
        <w:adjustRightInd w:val="0"/>
        <w:snapToGrid w:val="0"/>
        <w:spacing w:before="0" w:after="0" w:line="576" w:lineRule="exact"/>
        <w:ind w:firstLine="640" w:firstLineChars="200"/>
        <w:jc w:val="both"/>
        <w:rPr>
          <w:rFonts w:ascii="仿宋_GB2312" w:hAnsi="仿宋_GB2312" w:eastAsia="仿宋_GB2312" w:cs="仿宋_GB2312"/>
          <w:b w:val="0"/>
          <w:bCs w:val="0"/>
          <w:szCs w:val="32"/>
        </w:rPr>
      </w:pPr>
      <w:r>
        <w:rPr>
          <w:rFonts w:hint="eastAsia" w:ascii="仿宋_GB2312" w:hAnsi="仿宋_GB2312" w:eastAsia="仿宋_GB2312" w:cs="仿宋_GB2312"/>
          <w:b w:val="0"/>
          <w:bCs w:val="0"/>
          <w:szCs w:val="32"/>
        </w:rPr>
        <w:t>1．中国特色社会主义理论:30分。</w:t>
      </w:r>
    </w:p>
    <w:p>
      <w:pPr>
        <w:pStyle w:val="2"/>
        <w:adjustRightInd w:val="0"/>
        <w:snapToGrid w:val="0"/>
        <w:spacing w:before="0" w:after="0" w:line="576" w:lineRule="exact"/>
        <w:ind w:firstLine="640" w:firstLineChars="200"/>
        <w:jc w:val="both"/>
        <w:rPr>
          <w:rFonts w:ascii="仿宋_GB2312" w:hAnsi="仿宋_GB2312" w:eastAsia="仿宋_GB2312" w:cs="仿宋_GB2312"/>
          <w:b w:val="0"/>
          <w:bCs w:val="0"/>
          <w:szCs w:val="32"/>
        </w:rPr>
      </w:pPr>
      <w:r>
        <w:rPr>
          <w:rFonts w:hint="eastAsia" w:ascii="仿宋_GB2312" w:hAnsi="仿宋_GB2312" w:eastAsia="仿宋_GB2312" w:cs="仿宋_GB2312"/>
          <w:b w:val="0"/>
          <w:bCs w:val="0"/>
          <w:szCs w:val="32"/>
        </w:rPr>
        <w:t>2．政治法律常识:20分。</w:t>
      </w:r>
    </w:p>
    <w:p>
      <w:pPr>
        <w:pStyle w:val="2"/>
        <w:adjustRightInd w:val="0"/>
        <w:snapToGrid w:val="0"/>
        <w:spacing w:before="0" w:after="0" w:line="576" w:lineRule="exact"/>
        <w:jc w:val="both"/>
        <w:rPr>
          <w:rFonts w:ascii="仿宋_GB2312" w:hAnsi="仿宋_GB2312" w:eastAsia="仿宋_GB2312" w:cs="仿宋_GB2312"/>
          <w:b w:val="0"/>
          <w:bCs w:val="0"/>
          <w:szCs w:val="32"/>
        </w:rPr>
      </w:pPr>
      <w:r>
        <w:rPr>
          <w:rFonts w:hint="eastAsia" w:ascii="仿宋_GB2312" w:hAnsi="仿宋_GB2312" w:eastAsia="仿宋_GB2312" w:cs="仿宋_GB2312"/>
          <w:b w:val="0"/>
          <w:bCs w:val="0"/>
          <w:szCs w:val="32"/>
        </w:rPr>
        <w:t>（三)题型</w:t>
      </w:r>
    </w:p>
    <w:p>
      <w:pPr>
        <w:pStyle w:val="2"/>
        <w:adjustRightInd w:val="0"/>
        <w:snapToGrid w:val="0"/>
        <w:spacing w:before="0" w:after="0" w:line="576" w:lineRule="exact"/>
        <w:ind w:firstLine="640" w:firstLineChars="200"/>
        <w:jc w:val="both"/>
        <w:rPr>
          <w:rFonts w:ascii="仿宋_GB2312" w:hAnsi="仿宋_GB2312" w:eastAsia="仿宋_GB2312" w:cs="仿宋_GB2312"/>
          <w:b w:val="0"/>
          <w:bCs w:val="0"/>
          <w:szCs w:val="32"/>
        </w:rPr>
      </w:pPr>
      <w:r>
        <w:rPr>
          <w:rFonts w:hint="eastAsia" w:ascii="仿宋_GB2312" w:hAnsi="仿宋_GB2312" w:eastAsia="仿宋_GB2312" w:cs="仿宋_GB2312"/>
          <w:b w:val="0"/>
          <w:bCs w:val="0"/>
          <w:szCs w:val="32"/>
        </w:rPr>
        <w:t>1．单项选择题。</w:t>
      </w:r>
      <w:bookmarkStart w:id="0" w:name="_GoBack"/>
      <w:bookmarkEnd w:id="0"/>
    </w:p>
    <w:p>
      <w:pPr>
        <w:pStyle w:val="2"/>
        <w:adjustRightInd w:val="0"/>
        <w:snapToGrid w:val="0"/>
        <w:spacing w:before="0" w:after="0" w:line="576" w:lineRule="exact"/>
        <w:ind w:firstLine="640" w:firstLineChars="200"/>
        <w:jc w:val="both"/>
        <w:rPr>
          <w:rFonts w:hint="eastAsia" w:ascii="仿宋_GB2312" w:hAnsi="仿宋_GB2312" w:eastAsia="仿宋_GB2312" w:cs="仿宋_GB2312"/>
          <w:b w:val="0"/>
          <w:bCs w:val="0"/>
          <w:szCs w:val="32"/>
        </w:rPr>
      </w:pPr>
      <w:r>
        <w:rPr>
          <w:rFonts w:hint="eastAsia" w:ascii="仿宋_GB2312" w:hAnsi="仿宋_GB2312" w:eastAsia="仿宋_GB2312" w:cs="仿宋_GB2312"/>
          <w:b w:val="0"/>
          <w:bCs w:val="0"/>
          <w:szCs w:val="32"/>
        </w:rPr>
        <w:t>2．多项选择题</w:t>
      </w:r>
    </w:p>
    <w:p>
      <w:pPr>
        <w:pStyle w:val="2"/>
        <w:adjustRightInd w:val="0"/>
        <w:snapToGrid w:val="0"/>
        <w:spacing w:before="0" w:after="0" w:line="576" w:lineRule="exact"/>
        <w:ind w:firstLine="640" w:firstLineChars="200"/>
        <w:jc w:val="both"/>
        <w:rPr>
          <w:rFonts w:hint="eastAsia" w:ascii="仿宋_GB2312" w:hAnsi="仿宋_GB2312" w:eastAsia="仿宋_GB2312" w:cs="仿宋_GB2312"/>
          <w:b w:val="0"/>
          <w:bCs w:val="0"/>
          <w:szCs w:val="32"/>
        </w:rPr>
      </w:pPr>
      <w:r>
        <w:rPr>
          <w:rFonts w:hint="eastAsia" w:ascii="仿宋_GB2312" w:hAnsi="仿宋_GB2312" w:eastAsia="仿宋_GB2312" w:cs="仿宋_GB2312"/>
          <w:b w:val="0"/>
          <w:bCs w:val="0"/>
          <w:szCs w:val="32"/>
        </w:rPr>
        <w:t>3. 判断题。</w:t>
      </w:r>
    </w:p>
    <w:p>
      <w:pPr>
        <w:pStyle w:val="2"/>
        <w:adjustRightInd w:val="0"/>
        <w:snapToGrid w:val="0"/>
        <w:spacing w:before="0" w:after="0" w:line="576" w:lineRule="exact"/>
        <w:jc w:val="both"/>
        <w:rPr>
          <w:rFonts w:ascii="方正小标宋_GBK" w:hAnsi="宋体" w:eastAsia="方正小标宋_GBK" w:cs="宋体"/>
          <w:b w:val="0"/>
          <w:bCs w:val="0"/>
          <w:sz w:val="44"/>
        </w:rPr>
      </w:pPr>
      <w:r>
        <w:rPr>
          <w:rFonts w:hint="eastAsia" w:ascii="宋体" w:hAnsi="宋体" w:cs="宋体"/>
          <w:szCs w:val="32"/>
        </w:rPr>
        <w:t>二、考试内容</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政治考试的内容包括中国特色社会主义理论和政治法律常识两编内容。</w:t>
      </w:r>
    </w:p>
    <w:p>
      <w:pPr>
        <w:spacing w:line="576" w:lineRule="exact"/>
        <w:ind w:firstLine="1606" w:firstLineChars="500"/>
        <w:rPr>
          <w:rFonts w:ascii="仿宋_GB2312" w:hAnsi="仿宋_GB2312" w:eastAsia="仿宋_GB2312" w:cs="仿宋_GB2312"/>
          <w:b/>
          <w:sz w:val="32"/>
          <w:szCs w:val="32"/>
        </w:rPr>
      </w:pPr>
      <w:r>
        <w:rPr>
          <w:rFonts w:hint="eastAsia" w:ascii="仿宋_GB2312" w:hAnsi="仿宋_GB2312" w:eastAsia="仿宋_GB2312" w:cs="仿宋_GB2312"/>
          <w:b/>
          <w:sz w:val="32"/>
          <w:szCs w:val="32"/>
        </w:rPr>
        <w:t>第一编 中国特色社会主义理论</w:t>
      </w:r>
    </w:p>
    <w:p>
      <w:pPr>
        <w:spacing w:line="576" w:lineRule="exact"/>
        <w:rPr>
          <w:rFonts w:ascii="仿宋_GB2312" w:hAnsi="仿宋_GB2312" w:eastAsia="仿宋_GB2312" w:cs="仿宋_GB2312"/>
          <w:b/>
          <w:sz w:val="32"/>
          <w:szCs w:val="32"/>
        </w:rPr>
      </w:pPr>
      <w:r>
        <w:rPr>
          <w:rFonts w:hint="eastAsia" w:ascii="仿宋_GB2312" w:hAnsi="仿宋_GB2312" w:eastAsia="仿宋_GB2312" w:cs="仿宋_GB2312"/>
          <w:b/>
          <w:sz w:val="32"/>
          <w:szCs w:val="32"/>
        </w:rPr>
        <w:t>第一章 邓小平理论</w:t>
      </w:r>
    </w:p>
    <w:p>
      <w:pPr>
        <w:spacing w:line="576" w:lineRule="exact"/>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第一节 邓小平理论的形成</w:t>
      </w:r>
    </w:p>
    <w:p>
      <w:pPr>
        <w:spacing w:line="576" w:lineRule="exact"/>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第二节 邓小平理论的基本问题和主要内容</w:t>
      </w:r>
    </w:p>
    <w:p>
      <w:pPr>
        <w:spacing w:line="576" w:lineRule="exact"/>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第三节 邓小平理论的历史地位</w:t>
      </w:r>
    </w:p>
    <w:p>
      <w:pPr>
        <w:spacing w:line="576" w:lineRule="exact"/>
        <w:rPr>
          <w:rFonts w:ascii="仿宋_GB2312" w:hAnsi="仿宋_GB2312" w:eastAsia="仿宋_GB2312" w:cs="仿宋_GB2312"/>
          <w:b/>
          <w:sz w:val="32"/>
          <w:szCs w:val="32"/>
        </w:rPr>
      </w:pPr>
      <w:r>
        <w:rPr>
          <w:rFonts w:hint="eastAsia" w:ascii="仿宋_GB2312" w:hAnsi="仿宋_GB2312" w:eastAsia="仿宋_GB2312" w:cs="仿宋_GB2312"/>
          <w:b/>
          <w:sz w:val="32"/>
          <w:szCs w:val="32"/>
        </w:rPr>
        <w:t>第二章 “三个代表”重要思想</w:t>
      </w:r>
    </w:p>
    <w:p>
      <w:pPr>
        <w:spacing w:line="576" w:lineRule="exact"/>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第一节 “三个代表”重要思想的形成</w:t>
      </w:r>
    </w:p>
    <w:p>
      <w:pPr>
        <w:spacing w:line="576" w:lineRule="exact"/>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第二节 “三个代表”重要思想的核心观点和主要内容</w:t>
      </w:r>
    </w:p>
    <w:p>
      <w:pPr>
        <w:spacing w:line="576" w:lineRule="exact"/>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第三节 全面贯彻 “三个代表”重要思想</w:t>
      </w:r>
    </w:p>
    <w:p>
      <w:pPr>
        <w:spacing w:line="576" w:lineRule="exact"/>
        <w:rPr>
          <w:rFonts w:ascii="仿宋_GB2312" w:hAnsi="仿宋_GB2312" w:eastAsia="仿宋_GB2312" w:cs="仿宋_GB2312"/>
          <w:b/>
          <w:sz w:val="32"/>
          <w:szCs w:val="32"/>
        </w:rPr>
      </w:pPr>
      <w:r>
        <w:rPr>
          <w:rFonts w:hint="eastAsia" w:ascii="仿宋_GB2312" w:hAnsi="仿宋_GB2312" w:eastAsia="仿宋_GB2312" w:cs="仿宋_GB2312"/>
          <w:b/>
          <w:sz w:val="32"/>
          <w:szCs w:val="32"/>
        </w:rPr>
        <w:t>第三章 科学发展观</w:t>
      </w:r>
    </w:p>
    <w:p>
      <w:pPr>
        <w:spacing w:line="576" w:lineRule="exact"/>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第一节 科学发展观的形成</w:t>
      </w:r>
    </w:p>
    <w:p>
      <w:pPr>
        <w:spacing w:line="576" w:lineRule="exact"/>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第二节 科学发展观的科学内涵和主要内容</w:t>
      </w:r>
    </w:p>
    <w:p>
      <w:pPr>
        <w:spacing w:line="576" w:lineRule="exact"/>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第三节 科学发展观的历史地位</w:t>
      </w:r>
    </w:p>
    <w:p>
      <w:pPr>
        <w:spacing w:line="576" w:lineRule="exact"/>
        <w:rPr>
          <w:rFonts w:ascii="仿宋_GB2312" w:hAnsi="仿宋_GB2312" w:eastAsia="仿宋_GB2312" w:cs="仿宋_GB2312"/>
          <w:b/>
          <w:sz w:val="32"/>
          <w:szCs w:val="32"/>
        </w:rPr>
      </w:pPr>
      <w:r>
        <w:rPr>
          <w:rFonts w:hint="eastAsia" w:ascii="仿宋_GB2312" w:hAnsi="仿宋_GB2312" w:eastAsia="仿宋_GB2312" w:cs="仿宋_GB2312"/>
          <w:b/>
          <w:sz w:val="32"/>
          <w:szCs w:val="32"/>
        </w:rPr>
        <w:t>第四章 习近平新时代中国特色社会主义思想</w:t>
      </w:r>
    </w:p>
    <w:p>
      <w:pPr>
        <w:spacing w:line="576" w:lineRule="exact"/>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第一节 习近平新时代中国特色社会主义思想的形成</w:t>
      </w:r>
    </w:p>
    <w:p>
      <w:pPr>
        <w:spacing w:line="576" w:lineRule="exact"/>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第二节 习近平新时代中国特色社会主义思想的主要内容和基本方略</w:t>
      </w:r>
    </w:p>
    <w:p>
      <w:pPr>
        <w:spacing w:line="576" w:lineRule="exact"/>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第三节 习近平新时代中国特色社会主义思想的重大意义</w:t>
      </w:r>
    </w:p>
    <w:p>
      <w:pPr>
        <w:spacing w:line="576" w:lineRule="exact"/>
        <w:rPr>
          <w:rFonts w:ascii="仿宋_GB2312" w:hAnsi="仿宋_GB2312" w:eastAsia="仿宋_GB2312" w:cs="仿宋_GB2312"/>
          <w:b/>
          <w:sz w:val="32"/>
          <w:szCs w:val="32"/>
        </w:rPr>
      </w:pPr>
      <w:r>
        <w:rPr>
          <w:rFonts w:hint="eastAsia" w:ascii="仿宋_GB2312" w:hAnsi="仿宋_GB2312" w:eastAsia="仿宋_GB2312" w:cs="仿宋_GB2312"/>
          <w:b/>
          <w:sz w:val="32"/>
          <w:szCs w:val="32"/>
        </w:rPr>
        <w:t>第五章 坚持和发展中国特色社会主义的总任务</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第一节 实现中华民族伟大复兴的中国梦</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第二节 建成社会主义现代化强国的战略安排</w:t>
      </w:r>
    </w:p>
    <w:p>
      <w:pPr>
        <w:spacing w:line="576" w:lineRule="exact"/>
        <w:rPr>
          <w:rFonts w:ascii="仿宋_GB2312" w:hAnsi="仿宋_GB2312" w:eastAsia="仿宋_GB2312" w:cs="仿宋_GB2312"/>
          <w:b/>
          <w:sz w:val="32"/>
          <w:szCs w:val="32"/>
        </w:rPr>
      </w:pPr>
      <w:r>
        <w:rPr>
          <w:rFonts w:hint="eastAsia" w:ascii="仿宋_GB2312" w:hAnsi="仿宋_GB2312" w:eastAsia="仿宋_GB2312" w:cs="仿宋_GB2312"/>
          <w:b/>
          <w:sz w:val="32"/>
          <w:szCs w:val="32"/>
        </w:rPr>
        <w:t>第六章 中国特色社会主义建设的总体布局</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第一节  建设现代化经济体系</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第二节  发展社会主义民主政治</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第三节  推动社会主义文化繁荣兴盛</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第四节  坚持在发展中保障和改善民生</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第五节  建设美丽中国</w:t>
      </w:r>
    </w:p>
    <w:p>
      <w:pPr>
        <w:spacing w:line="576" w:lineRule="exact"/>
        <w:rPr>
          <w:rFonts w:ascii="仿宋_GB2312" w:hAnsi="仿宋_GB2312" w:eastAsia="仿宋_GB2312" w:cs="仿宋_GB2312"/>
          <w:b/>
          <w:sz w:val="32"/>
          <w:szCs w:val="32"/>
        </w:rPr>
      </w:pPr>
      <w:r>
        <w:rPr>
          <w:rFonts w:hint="eastAsia" w:ascii="仿宋_GB2312" w:hAnsi="仿宋_GB2312" w:eastAsia="仿宋_GB2312" w:cs="仿宋_GB2312"/>
          <w:b/>
          <w:sz w:val="32"/>
          <w:szCs w:val="32"/>
        </w:rPr>
        <w:t>第七章 “四个全面”战略布局</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第一节 全面建成小康社会</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第二节 全面深化改革</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第三节 全面依法治国</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第四节 全面从严治党</w:t>
      </w:r>
    </w:p>
    <w:p>
      <w:pPr>
        <w:spacing w:line="576" w:lineRule="exact"/>
        <w:ind w:firstLine="1606" w:firstLineChars="500"/>
        <w:rPr>
          <w:rFonts w:ascii="仿宋_GB2312" w:hAnsi="仿宋_GB2312" w:eastAsia="仿宋_GB2312" w:cs="仿宋_GB2312"/>
          <w:b/>
          <w:sz w:val="32"/>
          <w:szCs w:val="32"/>
        </w:rPr>
      </w:pPr>
      <w:r>
        <w:rPr>
          <w:rFonts w:hint="eastAsia" w:ascii="仿宋_GB2312" w:hAnsi="仿宋_GB2312" w:eastAsia="仿宋_GB2312" w:cs="仿宋_GB2312"/>
          <w:b/>
          <w:sz w:val="32"/>
          <w:szCs w:val="32"/>
        </w:rPr>
        <w:t>第二编  政治法律常识</w:t>
      </w:r>
    </w:p>
    <w:p>
      <w:pPr>
        <w:spacing w:line="576" w:lineRule="exact"/>
        <w:rPr>
          <w:rFonts w:ascii="仿宋_GB2312" w:hAnsi="仿宋_GB2312" w:eastAsia="仿宋_GB2312" w:cs="仿宋_GB2312"/>
          <w:b/>
          <w:sz w:val="32"/>
          <w:szCs w:val="32"/>
        </w:rPr>
      </w:pPr>
      <w:r>
        <w:rPr>
          <w:rFonts w:hint="eastAsia" w:ascii="仿宋_GB2312" w:hAnsi="仿宋_GB2312" w:eastAsia="仿宋_GB2312" w:cs="仿宋_GB2312"/>
          <w:b/>
          <w:sz w:val="32"/>
          <w:szCs w:val="32"/>
        </w:rPr>
        <w:t>第八章 坚持一切从实际出发，实事求是</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第一节  物质和意识及其相互关系</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第二节 发挥主观能性必须尊重客观规律</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第三节  坚持一切从实际出发， 实事求是</w:t>
      </w:r>
    </w:p>
    <w:p>
      <w:pPr>
        <w:spacing w:line="576" w:lineRule="exact"/>
        <w:rPr>
          <w:rFonts w:ascii="仿宋_GB2312" w:hAnsi="仿宋_GB2312" w:eastAsia="仿宋_GB2312" w:cs="仿宋_GB2312"/>
          <w:b/>
          <w:sz w:val="32"/>
          <w:szCs w:val="32"/>
        </w:rPr>
      </w:pPr>
      <w:r>
        <w:rPr>
          <w:rFonts w:hint="eastAsia" w:ascii="仿宋_GB2312" w:hAnsi="仿宋_GB2312" w:eastAsia="仿宋_GB2312" w:cs="仿宋_GB2312"/>
          <w:b/>
          <w:sz w:val="32"/>
          <w:szCs w:val="32"/>
        </w:rPr>
        <w:t>第九章  用联系和发展的观点看问题</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第一节  事物是普遍联系的</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第二节  事物是变化发展的</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第三节  用联系和发展的观点看问题</w:t>
      </w:r>
    </w:p>
    <w:p>
      <w:pPr>
        <w:spacing w:line="576" w:lineRule="exact"/>
        <w:rPr>
          <w:rFonts w:ascii="仿宋_GB2312" w:hAnsi="仿宋_GB2312" w:eastAsia="仿宋_GB2312" w:cs="仿宋_GB2312"/>
          <w:b/>
          <w:sz w:val="32"/>
          <w:szCs w:val="32"/>
        </w:rPr>
      </w:pPr>
      <w:r>
        <w:rPr>
          <w:rFonts w:hint="eastAsia" w:ascii="仿宋_GB2312" w:hAnsi="仿宋_GB2312" w:eastAsia="仿宋_GB2312" w:cs="仿宋_GB2312"/>
          <w:b/>
          <w:sz w:val="32"/>
          <w:szCs w:val="32"/>
        </w:rPr>
        <w:t>第十章 用正确的方法观察和分析事物</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第一节 矛盾是事物发展的动力</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第二节 具体问题具体分析</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第三节 坚持两点论和重点论的统一</w:t>
      </w:r>
    </w:p>
    <w:p>
      <w:pPr>
        <w:spacing w:line="576" w:lineRule="exact"/>
        <w:rPr>
          <w:rFonts w:ascii="仿宋_GB2312" w:hAnsi="仿宋_GB2312" w:eastAsia="仿宋_GB2312" w:cs="仿宋_GB2312"/>
          <w:b/>
          <w:sz w:val="32"/>
          <w:szCs w:val="32"/>
        </w:rPr>
      </w:pPr>
      <w:r>
        <w:rPr>
          <w:rFonts w:hint="eastAsia" w:ascii="仿宋_GB2312" w:hAnsi="仿宋_GB2312" w:eastAsia="仿宋_GB2312" w:cs="仿宋_GB2312"/>
          <w:b/>
          <w:sz w:val="32"/>
          <w:szCs w:val="32"/>
        </w:rPr>
        <w:t>第十一章  掌握认识世界的科学方法</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第一节 实践是认识的基础</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第二节 认识的辩证过程</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第三节 透过现象，抓住本质</w:t>
      </w:r>
    </w:p>
    <w:p>
      <w:pPr>
        <w:spacing w:line="576" w:lineRule="exact"/>
        <w:rPr>
          <w:rFonts w:ascii="仿宋_GB2312" w:hAnsi="仿宋_GB2312" w:eastAsia="仿宋_GB2312" w:cs="仿宋_GB2312"/>
          <w:b/>
          <w:sz w:val="32"/>
          <w:szCs w:val="32"/>
        </w:rPr>
      </w:pPr>
      <w:r>
        <w:rPr>
          <w:rFonts w:hint="eastAsia" w:ascii="仿宋_GB2312" w:hAnsi="仿宋_GB2312" w:eastAsia="仿宋_GB2312" w:cs="仿宋_GB2312"/>
          <w:b/>
          <w:sz w:val="32"/>
          <w:szCs w:val="32"/>
        </w:rPr>
        <w:t>第十二章  从生产活动出发认识社会历史</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第一节 生产活动和社会物质生活条件</w:t>
      </w:r>
    </w:p>
    <w:p>
      <w:pPr>
        <w:spacing w:line="576" w:lineRule="exact"/>
        <w:ind w:left="320"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第二节 生产关系必须适应生产力的发展</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第三节 社会意识在社会发展中的作用</w:t>
      </w:r>
    </w:p>
    <w:p>
      <w:pPr>
        <w:spacing w:line="576" w:lineRule="exact"/>
        <w:rPr>
          <w:rFonts w:ascii="仿宋_GB2312" w:hAnsi="仿宋_GB2312" w:eastAsia="仿宋_GB2312" w:cs="仿宋_GB2312"/>
          <w:b/>
          <w:sz w:val="32"/>
          <w:szCs w:val="32"/>
        </w:rPr>
      </w:pPr>
      <w:r>
        <w:rPr>
          <w:rFonts w:hint="eastAsia" w:ascii="仿宋_GB2312" w:hAnsi="仿宋_GB2312" w:eastAsia="仿宋_GB2312" w:cs="仿宋_GB2312"/>
          <w:b/>
          <w:sz w:val="32"/>
          <w:szCs w:val="32"/>
        </w:rPr>
        <w:t>第十三章  商品经济及其规律</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第一节 商品</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第二节 货币</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第三节 价值规律</w:t>
      </w:r>
    </w:p>
    <w:p>
      <w:pPr>
        <w:spacing w:line="576" w:lineRule="exact"/>
        <w:rPr>
          <w:rFonts w:ascii="仿宋_GB2312" w:hAnsi="仿宋_GB2312" w:eastAsia="仿宋_GB2312" w:cs="仿宋_GB2312"/>
          <w:b/>
          <w:sz w:val="32"/>
          <w:szCs w:val="32"/>
        </w:rPr>
      </w:pPr>
      <w:r>
        <w:rPr>
          <w:rFonts w:hint="eastAsia" w:ascii="仿宋_GB2312" w:hAnsi="仿宋_GB2312" w:eastAsia="仿宋_GB2312" w:cs="仿宋_GB2312"/>
          <w:b/>
          <w:sz w:val="32"/>
          <w:szCs w:val="32"/>
        </w:rPr>
        <w:t>第十四章 我国的民族政策和宗教政策</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第一节 我国的民族政策</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第二节 我国的宗教状况和宗教政策</w:t>
      </w:r>
    </w:p>
    <w:p>
      <w:pPr>
        <w:spacing w:line="576" w:lineRule="exact"/>
        <w:rPr>
          <w:rFonts w:ascii="仿宋_GB2312" w:hAnsi="仿宋_GB2312" w:eastAsia="仿宋_GB2312" w:cs="仿宋_GB2312"/>
          <w:b/>
          <w:sz w:val="32"/>
          <w:szCs w:val="32"/>
        </w:rPr>
      </w:pPr>
      <w:r>
        <w:rPr>
          <w:rFonts w:hint="eastAsia" w:ascii="仿宋_GB2312" w:hAnsi="仿宋_GB2312" w:eastAsia="仿宋_GB2312" w:cs="仿宋_GB2312"/>
          <w:b/>
          <w:sz w:val="32"/>
          <w:szCs w:val="32"/>
        </w:rPr>
        <w:t>第十五章 学习法律知识，增强法制观念，维护宪法尊严</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第一节 法律及社会主义法制</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第二节 宪法</w:t>
      </w:r>
    </w:p>
    <w:p>
      <w:pPr>
        <w:spacing w:line="576" w:lineRule="exact"/>
        <w:rPr>
          <w:rFonts w:ascii="仿宋_GB2312" w:hAnsi="仿宋_GB2312" w:eastAsia="仿宋_GB2312" w:cs="仿宋_GB2312"/>
          <w:b/>
          <w:sz w:val="32"/>
          <w:szCs w:val="32"/>
        </w:rPr>
      </w:pPr>
      <w:r>
        <w:rPr>
          <w:rFonts w:hint="eastAsia" w:ascii="仿宋_GB2312" w:hAnsi="仿宋_GB2312" w:eastAsia="仿宋_GB2312" w:cs="仿宋_GB2312"/>
          <w:b/>
          <w:sz w:val="32"/>
          <w:szCs w:val="32"/>
        </w:rPr>
        <w:t>第十六章 制裁违法犯罪， 确保社会安定</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第一节 违反治安管理的行为和处罚</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第二节 犯罪</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第三节 刑罚</w:t>
      </w:r>
    </w:p>
    <w:p>
      <w:pPr>
        <w:spacing w:line="576" w:lineRule="exact"/>
        <w:ind w:firstLine="420" w:firstLineChars="200"/>
        <w:rPr>
          <w:rFonts w:ascii="宋体" w:hAnsi="宋体" w:cs="宋体"/>
        </w:rPr>
      </w:pPr>
    </w:p>
    <w:p>
      <w:pPr>
        <w:spacing w:line="576" w:lineRule="exact"/>
        <w:rPr>
          <w:rFonts w:ascii="方正仿宋_GBK" w:eastAsia="方正仿宋_GBK"/>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Light">
    <w:altName w:val="Arial Unicode MS"/>
    <w:panose1 w:val="02010600030101010101"/>
    <w:charset w:val="86"/>
    <w:family w:val="auto"/>
    <w:pitch w:val="default"/>
    <w:sig w:usb0="00000000" w:usb1="00000000"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altName w:val="Arial Unicode MS"/>
    <w:panose1 w:val="00000000000000000000"/>
    <w:charset w:val="86"/>
    <w:family w:val="script"/>
    <w:pitch w:val="default"/>
    <w:sig w:usb0="00000000" w:usb1="00000000" w:usb2="0000001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74C"/>
    <w:rsid w:val="00034A7C"/>
    <w:rsid w:val="002A4D7B"/>
    <w:rsid w:val="002F5461"/>
    <w:rsid w:val="00335B34"/>
    <w:rsid w:val="0035081E"/>
    <w:rsid w:val="00355212"/>
    <w:rsid w:val="003E56EE"/>
    <w:rsid w:val="003F7979"/>
    <w:rsid w:val="0047216E"/>
    <w:rsid w:val="004D55B4"/>
    <w:rsid w:val="00520ABC"/>
    <w:rsid w:val="00557FD1"/>
    <w:rsid w:val="005A6D3A"/>
    <w:rsid w:val="005F7210"/>
    <w:rsid w:val="00607B60"/>
    <w:rsid w:val="006110CA"/>
    <w:rsid w:val="006921CE"/>
    <w:rsid w:val="0076325F"/>
    <w:rsid w:val="007B3A9A"/>
    <w:rsid w:val="007E5D0C"/>
    <w:rsid w:val="00804104"/>
    <w:rsid w:val="00842478"/>
    <w:rsid w:val="00842AA3"/>
    <w:rsid w:val="009B7608"/>
    <w:rsid w:val="009F65B8"/>
    <w:rsid w:val="00A0774C"/>
    <w:rsid w:val="00A5194F"/>
    <w:rsid w:val="00BA340C"/>
    <w:rsid w:val="00D04538"/>
    <w:rsid w:val="00E45999"/>
    <w:rsid w:val="00E84663"/>
    <w:rsid w:val="00EA15B3"/>
    <w:rsid w:val="00EA7BF3"/>
    <w:rsid w:val="00EC14D2"/>
    <w:rsid w:val="00FF02B0"/>
    <w:rsid w:val="1CAF6B83"/>
    <w:rsid w:val="29277985"/>
    <w:rsid w:val="623151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
    <w:pPr>
      <w:keepNext/>
      <w:keepLines/>
      <w:spacing w:before="340" w:after="330" w:line="578" w:lineRule="auto"/>
      <w:jc w:val="center"/>
      <w:outlineLvl w:val="0"/>
    </w:pPr>
    <w:rPr>
      <w:b/>
      <w:bCs/>
      <w:kern w:val="44"/>
      <w:sz w:val="32"/>
      <w:szCs w:val="44"/>
    </w:rPr>
  </w:style>
  <w:style w:type="paragraph" w:styleId="3">
    <w:name w:val="heading 2"/>
    <w:basedOn w:val="1"/>
    <w:next w:val="1"/>
    <w:unhideWhenUsed/>
    <w:qFormat/>
    <w:uiPriority w:val="9"/>
    <w:pPr>
      <w:keepNext/>
      <w:keepLines/>
      <w:spacing w:before="240" w:after="240"/>
      <w:outlineLvl w:val="1"/>
    </w:pPr>
    <w:rPr>
      <w:rFonts w:asciiTheme="majorHAnsi" w:hAnsiTheme="majorHAnsi" w:cstheme="majorBidi"/>
      <w:b/>
      <w:bCs/>
      <w:sz w:val="24"/>
      <w:szCs w:val="32"/>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4">
    <w:name w:val="Balloon Text"/>
    <w:basedOn w:val="1"/>
    <w:link w:val="11"/>
    <w:semiHidden/>
    <w:unhideWhenUsed/>
    <w:qFormat/>
    <w:uiPriority w:val="99"/>
    <w:rPr>
      <w:sz w:val="18"/>
      <w:szCs w:val="18"/>
    </w:rPr>
  </w:style>
  <w:style w:type="paragraph" w:styleId="5">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9">
    <w:name w:val="页眉 Char"/>
    <w:basedOn w:val="8"/>
    <w:link w:val="6"/>
    <w:uiPriority w:val="99"/>
    <w:rPr>
      <w:sz w:val="18"/>
      <w:szCs w:val="18"/>
    </w:rPr>
  </w:style>
  <w:style w:type="character" w:customStyle="1" w:styleId="10">
    <w:name w:val="页脚 Char"/>
    <w:basedOn w:val="8"/>
    <w:link w:val="5"/>
    <w:uiPriority w:val="99"/>
    <w:rPr>
      <w:sz w:val="18"/>
      <w:szCs w:val="18"/>
    </w:rPr>
  </w:style>
  <w:style w:type="character" w:customStyle="1" w:styleId="11">
    <w:name w:val="批注框文本 Char"/>
    <w:basedOn w:val="8"/>
    <w:link w:val="4"/>
    <w:semiHidden/>
    <w:qFormat/>
    <w:uiPriority w:val="99"/>
    <w:rPr>
      <w:rFonts w:ascii="Times New Roman" w:hAnsi="Times New Roman" w:eastAsia="宋体" w:cs="Times New Roman"/>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1080</Words>
  <Characters>1087</Characters>
  <Lines>8</Lines>
  <Paragraphs>2</Paragraphs>
  <TotalTime>0</TotalTime>
  <ScaleCrop>false</ScaleCrop>
  <LinksUpToDate>false</LinksUpToDate>
  <CharactersWithSpaces>1172</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2022-03-16T01:59:00Z</dcterms:created>
  <dc:creator>周 睿玫</dc:creator>
  <cp:lastModifiedBy>  俣。  </cp:lastModifiedBy>
  <cp:lastPrinted>2021-03-05T00:05:00Z</cp:lastPrinted>
  <dcterms:modified xsi:type="dcterms:W3CDTF">2022-03-16T03:15:41Z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11172800_btnclosed</vt:lpwstr>
  </property>
  <property fmtid="{D5CDD505-2E9C-101B-9397-08002B2CF9AE}" pid="3" name="KSOProductBuildVer">
    <vt:lpwstr>2052-11.1.0.11365</vt:lpwstr>
  </property>
  <property fmtid="{D5CDD505-2E9C-101B-9397-08002B2CF9AE}" pid="4" name="ICV">
    <vt:lpwstr>34CFF2614D954FD1BCF161CB12A99ECE</vt:lpwstr>
  </property>
</Properties>
</file>